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FC0794">
        <w:rPr>
          <w:rFonts w:eastAsia="맑은 고딕"/>
          <w:b/>
          <w:noProof/>
          <w:sz w:val="24"/>
          <w:lang w:val="en-US" w:eastAsia="ko-KR"/>
        </w:rPr>
        <w:t>7</w:t>
      </w:r>
      <w:r w:rsidR="006F5AB1">
        <w:rPr>
          <w:rFonts w:eastAsia="맑은 고딕"/>
          <w:b/>
          <w:noProof/>
          <w:sz w:val="24"/>
          <w:lang w:val="en-US" w:eastAsia="ko-KR"/>
        </w:rPr>
        <w:t>bis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A13409">
        <w:rPr>
          <w:b/>
          <w:i/>
          <w:sz w:val="32"/>
          <w:lang w:val="sv-SE" w:eastAsia="ko-KR"/>
        </w:rPr>
        <w:t>R2-</w:t>
      </w:r>
      <w:r w:rsidR="00A13409" w:rsidRPr="00A13409">
        <w:rPr>
          <w:b/>
          <w:i/>
          <w:sz w:val="32"/>
          <w:lang w:val="sv-SE" w:eastAsia="ko-KR"/>
        </w:rPr>
        <w:t>1913819</w:t>
      </w:r>
      <w:bookmarkStart w:id="0" w:name="_GoBack"/>
      <w:bookmarkEnd w:id="0"/>
    </w:p>
    <w:p w:rsidR="00BB7461" w:rsidRPr="00E035DC" w:rsidRDefault="006F5AB1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/>
          <w:b/>
          <w:sz w:val="24"/>
          <w:lang w:eastAsia="ko-KR"/>
        </w:rPr>
        <w:t>Chongqing</w:t>
      </w:r>
      <w:r w:rsidRPr="00083523">
        <w:rPr>
          <w:rFonts w:eastAsiaTheme="minorEastAsia"/>
          <w:b/>
          <w:sz w:val="24"/>
          <w:lang w:eastAsia="ko-KR"/>
        </w:rPr>
        <w:t>, C</w:t>
      </w:r>
      <w:r>
        <w:rPr>
          <w:rFonts w:eastAsiaTheme="minorEastAsia"/>
          <w:b/>
          <w:sz w:val="24"/>
          <w:lang w:eastAsia="ko-KR"/>
        </w:rPr>
        <w:t>hina</w:t>
      </w:r>
      <w:r w:rsidRPr="0008352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14</w:t>
      </w:r>
      <w:r w:rsidRPr="00083523">
        <w:rPr>
          <w:rFonts w:eastAsiaTheme="minorEastAsia"/>
          <w:b/>
          <w:sz w:val="24"/>
          <w:lang w:eastAsia="ko-KR"/>
        </w:rPr>
        <w:t xml:space="preserve">th - </w:t>
      </w:r>
      <w:r>
        <w:rPr>
          <w:rFonts w:eastAsiaTheme="minorEastAsia"/>
          <w:b/>
          <w:sz w:val="24"/>
          <w:lang w:eastAsia="ko-KR"/>
        </w:rPr>
        <w:t>18</w:t>
      </w:r>
      <w:r w:rsidRPr="00083523">
        <w:rPr>
          <w:rFonts w:eastAsiaTheme="minorEastAsia"/>
          <w:b/>
          <w:sz w:val="24"/>
          <w:lang w:eastAsia="ko-KR"/>
        </w:rPr>
        <w:t xml:space="preserve">th </w:t>
      </w:r>
      <w:r>
        <w:rPr>
          <w:rFonts w:eastAsiaTheme="minorEastAsia"/>
          <w:b/>
          <w:sz w:val="24"/>
          <w:lang w:eastAsia="ko-KR"/>
        </w:rPr>
        <w:t>October</w:t>
      </w:r>
      <w:r w:rsidRPr="00083523">
        <w:rPr>
          <w:rFonts w:eastAsiaTheme="minorEastAsia"/>
          <w:b/>
          <w:sz w:val="24"/>
          <w:lang w:eastAsia="ko-KR"/>
        </w:rPr>
        <w:t xml:space="preserve"> 2019</w:t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 w:rsidR="007451D5">
        <w:rPr>
          <w:rFonts w:eastAsiaTheme="minorEastAsia"/>
          <w:b/>
          <w:sz w:val="24"/>
          <w:lang w:eastAsia="ko-KR"/>
        </w:rPr>
        <w:t xml:space="preserve">    </w:t>
      </w:r>
    </w:p>
    <w:p w:rsidR="00C860C9" w:rsidRPr="007451D5" w:rsidRDefault="00C860C9" w:rsidP="00C860C9">
      <w:pPr>
        <w:tabs>
          <w:tab w:val="left" w:pos="1985"/>
        </w:tabs>
        <w:spacing w:after="60" w:line="288" w:lineRule="auto"/>
        <w:rPr>
          <w:rFonts w:eastAsiaTheme="minorEastAsia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39676C" w:rsidRPr="0039676C">
        <w:rPr>
          <w:rFonts w:cs="Arial"/>
          <w:noProof/>
          <w:sz w:val="24"/>
          <w:szCs w:val="24"/>
          <w:lang w:val="en-US" w:eastAsia="ko-KR"/>
        </w:rPr>
        <w:t xml:space="preserve">6.1.3.3 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(</w:t>
      </w:r>
      <w:r w:rsidR="006F5AB1" w:rsidRPr="0039676C">
        <w:rPr>
          <w:rFonts w:cs="Arial"/>
          <w:sz w:val="24"/>
          <w:szCs w:val="24"/>
          <w:lang w:val="en-US" w:eastAsia="ko-KR"/>
        </w:rPr>
        <w:t>NR_IAB-Core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</w:t>
      </w:r>
      <w:r w:rsidRPr="0039676C">
        <w:rPr>
          <w:rFonts w:cs="Arial"/>
          <w:noProof/>
          <w:sz w:val="24"/>
          <w:szCs w:val="24"/>
          <w:lang w:val="en-US" w:eastAsia="ko-KR"/>
        </w:rPr>
        <w:t>.</w:t>
      </w:r>
      <w:r w:rsidR="003F1E35" w:rsidRPr="0039676C">
        <w:rPr>
          <w:rFonts w:cs="Arial"/>
          <w:noProof/>
          <w:sz w:val="24"/>
          <w:szCs w:val="24"/>
          <w:lang w:val="en-US" w:eastAsia="ko-KR"/>
        </w:rPr>
        <w:t>, LG Uplus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660CA5" w:rsidRPr="00660CA5">
        <w:rPr>
          <w:rFonts w:eastAsia="맑은 고딕" w:cs="Arial"/>
          <w:noProof/>
          <w:sz w:val="24"/>
          <w:szCs w:val="24"/>
          <w:lang w:val="en-US" w:eastAsia="ko-KR"/>
        </w:rPr>
        <w:t>Further details for DL flow control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6C29AE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following agreements for flow control were made in RAN2#107 meeting. This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contribution discusses</w:t>
      </w:r>
      <w:r w:rsidR="006C29AE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further</w:t>
      </w:r>
      <w:r w:rsidR="006C29AE">
        <w:rPr>
          <w:rFonts w:ascii="Times New Roman" w:eastAsia="맑은 고딕" w:hAnsi="Times New Roman"/>
          <w:sz w:val="22"/>
          <w:szCs w:val="22"/>
          <w:lang w:eastAsia="ko-KR"/>
        </w:rPr>
        <w:t xml:space="preserve"> details of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DL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hop-by-hop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 flow control</w:t>
      </w:r>
      <w:r w:rsidR="007D3BC9">
        <w:rPr>
          <w:rFonts w:ascii="Times New Roman" w:eastAsia="맑은 고딕" w:hAnsi="Times New Roman"/>
          <w:sz w:val="22"/>
          <w:szCs w:val="22"/>
          <w:lang w:eastAsia="ko-KR"/>
        </w:rPr>
        <w:t xml:space="preserve"> for IAB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C2E" w:rsidTr="009F6C2E">
        <w:tc>
          <w:tcPr>
            <w:tcW w:w="9629" w:type="dxa"/>
          </w:tcPr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/>
              </w:rPr>
            </w:pPr>
            <w:r>
              <w:rPr>
                <w:rFonts w:hint="eastAsia"/>
                <w:lang w:val="en-US" w:eastAsia="zh-CN" w:bidi="ar"/>
              </w:rPr>
              <w:t>The UL end-to-end flow control is not supported in IAB network</w:t>
            </w:r>
          </w:p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The DL hop-by-hop flow control is supported in IAB network</w:t>
            </w:r>
            <w:r>
              <w:rPr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 xml:space="preserve"> </w:t>
            </w:r>
          </w:p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/>
              </w:rPr>
            </w:pPr>
            <w:r>
              <w:rPr>
                <w:lang w:val="en-US" w:eastAsia="zh-CN"/>
              </w:rPr>
              <w:t>One hop DL flow control feedback is considered for DL ho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-by-hop flow control, i.e. congested IAB node feedback flow control info to its parent IAB node.</w:t>
            </w:r>
          </w:p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DL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>-hop flow control feedback should include the IAB node buffer load</w:t>
            </w:r>
            <w:r>
              <w:rPr>
                <w:lang w:val="en-US" w:eastAsia="zh-CN"/>
              </w:rPr>
              <w:t xml:space="preserve"> (</w:t>
            </w:r>
            <w:r w:rsidRPr="007451D5">
              <w:rPr>
                <w:highlight w:val="yellow"/>
                <w:lang w:val="en-US" w:eastAsia="zh-CN"/>
              </w:rPr>
              <w:t>details FFS</w:t>
            </w:r>
            <w:r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and flow control granularity info.</w:t>
            </w:r>
            <w:r>
              <w:rPr>
                <w:lang w:val="en-US" w:eastAsia="zh-CN"/>
              </w:rPr>
              <w:t xml:space="preserve"> </w:t>
            </w:r>
            <w:r w:rsidRPr="007451D5">
              <w:rPr>
                <w:highlight w:val="yellow"/>
                <w:lang w:val="en-US" w:eastAsia="zh-CN"/>
              </w:rPr>
              <w:t>FFS other information</w:t>
            </w:r>
            <w:r>
              <w:rPr>
                <w:lang w:val="en-US" w:eastAsia="zh-CN"/>
              </w:rPr>
              <w:t xml:space="preserve">. </w:t>
            </w:r>
          </w:p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/>
              </w:rPr>
            </w:pPr>
            <w:r>
              <w:rPr>
                <w:rFonts w:hint="eastAsia"/>
                <w:lang w:val="en-US" w:eastAsia="zh-CN" w:bidi="ar"/>
              </w:rPr>
              <w:t xml:space="preserve">Per BH RLC channel based flow control feedback can be considered as baseline. </w:t>
            </w:r>
            <w:r w:rsidRPr="007451D5">
              <w:rPr>
                <w:rFonts w:hint="eastAsia"/>
                <w:highlight w:val="yellow"/>
                <w:lang w:val="en-US" w:eastAsia="zh-CN" w:bidi="ar"/>
              </w:rPr>
              <w:t>FFS on the necessity of other flow control granularity</w:t>
            </w:r>
          </w:p>
          <w:p w:rsid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BAP layer supports the DL hop-by-hop flow control and flow control feedback function</w:t>
            </w:r>
          </w:p>
          <w:p w:rsidR="009F6C2E" w:rsidRPr="009F6C2E" w:rsidRDefault="009F6C2E" w:rsidP="009F6C2E">
            <w:pPr>
              <w:pStyle w:val="Agreement"/>
              <w:tabs>
                <w:tab w:val="clear" w:pos="1619"/>
                <w:tab w:val="num" w:pos="596"/>
              </w:tabs>
              <w:ind w:left="596" w:hanging="425"/>
              <w:rPr>
                <w:lang w:val="en-US" w:eastAsia="zh-CN" w:bidi="ar"/>
              </w:rPr>
            </w:pPr>
            <w:r w:rsidRPr="007451D5">
              <w:rPr>
                <w:rFonts w:hint="eastAsia"/>
                <w:highlight w:val="yellow"/>
                <w:lang w:val="en-US" w:eastAsia="zh-CN" w:bidi="ar"/>
              </w:rPr>
              <w:t xml:space="preserve">It is FFS how to trigger the </w:t>
            </w:r>
            <w:proofErr w:type="spellStart"/>
            <w:r w:rsidRPr="007451D5">
              <w:rPr>
                <w:rFonts w:hint="eastAsia"/>
                <w:highlight w:val="yellow"/>
                <w:lang w:val="en-US" w:eastAsia="zh-CN" w:bidi="ar"/>
              </w:rPr>
              <w:t>the</w:t>
            </w:r>
            <w:proofErr w:type="spellEnd"/>
            <w:r w:rsidRPr="007451D5">
              <w:rPr>
                <w:rFonts w:hint="eastAsia"/>
                <w:highlight w:val="yellow"/>
                <w:lang w:val="en-US" w:eastAsia="zh-CN" w:bidi="ar"/>
              </w:rPr>
              <w:t xml:space="preserve"> DL hop-by-hop flow control in IAB network</w:t>
            </w:r>
          </w:p>
        </w:tc>
      </w:tr>
    </w:tbl>
    <w:p w:rsidR="009F6C2E" w:rsidRPr="00305309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D94610" w:rsidRDefault="009F6C2E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Even</w:t>
      </w:r>
      <w:r w:rsidR="007451D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though RAN2 made some progress and agreements in the last meeting, an important point is still unclear. 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</w:t>
      </w:r>
      <w:r w:rsidR="007451D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shown 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 w:rsidR="009D600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figure 1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>, w</w:t>
      </w:r>
      <w:r w:rsidR="002571F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hen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>DL data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congestion at the IAB node 2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occurs because </w:t>
      </w:r>
      <w:r w:rsidR="002571F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link between IAB node 1 and IAB node 2 has a problem</w:t>
      </w:r>
      <w:r w:rsidR="002571F7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2571F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IAB node 2 can transmit all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>DL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traffics to UE2 without any problems, but all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DL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traffics toward the IAB node 1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not be transmitted.</w:t>
      </w:r>
      <w:r w:rsidR="006D5589" w:rsidRPr="006D5589">
        <w:t xml:space="preserve"> </w:t>
      </w:r>
      <w:r w:rsidR="006D5589" w:rsidRPr="006D5589">
        <w:rPr>
          <w:rFonts w:ascii="Times New Roman" w:eastAsia="맑은 고딕" w:hAnsi="Times New Roman"/>
          <w:sz w:val="22"/>
          <w:szCs w:val="22"/>
          <w:lang w:val="en-US" w:eastAsia="ko-KR"/>
        </w:rPr>
        <w:t>This means that only IAB node 1 involves in downlink data congestion at the IAB node 2.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 w:rsidR="00D9461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this condition,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there is no reason to block DL traffics towards UE 2 and</w:t>
      </w:r>
      <w:r w:rsidR="00D9461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DL flow control mechanisms including both end-to-end and hop-by-hop manner should not block DL traffics not causing congestion, i.e., traffics toward UE2, and throttles only DL traffics causing DL data congestion, i.e., traffics toward IAB node 1. </w:t>
      </w:r>
    </w:p>
    <w:p w:rsidR="00D94610" w:rsidRPr="0045512E" w:rsidRDefault="00D94610" w:rsidP="00D94610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should throttles only DL traffics causing data congestion.</w:t>
      </w:r>
    </w:p>
    <w:p w:rsidR="006D5589" w:rsidRPr="00D94610" w:rsidRDefault="006D5589" w:rsidP="002571F7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2571F7" w:rsidRDefault="003E0DDA" w:rsidP="002571F7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85.5pt" o:ole="">
            <v:imagedata r:id="rId7" o:title=""/>
          </v:shape>
          <o:OLEObject Type="Embed" ProgID="Visio.Drawing.15" ShapeID="_x0000_i1025" DrawAspect="Content" ObjectID="_1631698800" r:id="rId8"/>
        </w:object>
      </w:r>
    </w:p>
    <w:p w:rsidR="002571F7" w:rsidRPr="009D3690" w:rsidRDefault="002571F7" w:rsidP="002571F7">
      <w:pPr>
        <w:pStyle w:val="a6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:rsidR="00513A48" w:rsidRPr="00513A48" w:rsidRDefault="00513A48" w:rsidP="006D55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73BE6" w:rsidRDefault="009777E8" w:rsidP="00D17B56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 xml:space="preserve">The next discussion should be how to achieve </w:t>
      </w:r>
      <w:r w:rsidR="00BE50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proposal 1 in </w:t>
      </w:r>
      <w:r w:rsidR="00175DB4">
        <w:rPr>
          <w:rFonts w:ascii="Times New Roman" w:eastAsia="맑은 고딕" w:hAnsi="Times New Roman"/>
          <w:sz w:val="22"/>
          <w:szCs w:val="22"/>
          <w:lang w:val="en-US" w:eastAsia="ko-KR"/>
        </w:rPr>
        <w:t>hop-by-hop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flow control</w:t>
      </w:r>
      <w:r w:rsidR="00BE50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mechanism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175D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E50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According to the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below agreement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BAP routing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BE50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figure 1, 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congested IAB node (IAB node 2) has routing and bearer mapping table and can know which destination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BAP address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forwarded to the congested child link (IAB node 1) and the associated BH RLC channel.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3BE6" w:rsidTr="00CF456E">
        <w:tc>
          <w:tcPr>
            <w:tcW w:w="9629" w:type="dxa"/>
          </w:tcPr>
          <w:p w:rsidR="00A73BE6" w:rsidRPr="00BE50B7" w:rsidRDefault="00A73BE6" w:rsidP="00CF456E">
            <w:pPr>
              <w:jc w:val="left"/>
              <w:rPr>
                <w:rFonts w:ascii="Times New Roman" w:eastAsia="맑은 고딕" w:hAnsi="Times New Roman"/>
                <w:sz w:val="19"/>
                <w:szCs w:val="19"/>
                <w:lang w:val="en-US" w:eastAsia="ko-KR"/>
              </w:rPr>
            </w:pPr>
            <w:r w:rsidRPr="00BE50B7">
              <w:rPr>
                <w:rFonts w:ascii="Times New Roman" w:eastAsia="맑은 고딕" w:hAnsi="Times New Roman"/>
                <w:sz w:val="19"/>
                <w:szCs w:val="19"/>
                <w:lang w:val="en-US" w:eastAsia="ko-KR"/>
              </w:rPr>
              <w:t>- The BAP routing id (carried in the BAP header) consists of BAP address and BAP path ID. Encoding of the path ID in the header is FFS.</w:t>
            </w:r>
          </w:p>
          <w:p w:rsidR="00A73BE6" w:rsidRPr="00BE50B7" w:rsidRDefault="00A73BE6" w:rsidP="00CF456E">
            <w:pPr>
              <w:jc w:val="left"/>
              <w:rPr>
                <w:rFonts w:ascii="Times New Roman" w:eastAsia="맑은 고딕" w:hAnsi="Times New Roman"/>
                <w:sz w:val="19"/>
                <w:szCs w:val="19"/>
                <w:lang w:val="en-US" w:eastAsia="ko-KR"/>
              </w:rPr>
            </w:pPr>
            <w:r w:rsidRPr="00BE50B7">
              <w:rPr>
                <w:rFonts w:ascii="Times New Roman" w:eastAsia="맑은 고딕" w:hAnsi="Times New Roman"/>
                <w:sz w:val="19"/>
                <w:szCs w:val="19"/>
                <w:lang w:val="en-US" w:eastAsia="ko-KR"/>
              </w:rPr>
              <w:t>- Each BAP address defines a unique destination (unique for IAB network of one Donor , either an IAB access node, or the IAB donor)</w:t>
            </w:r>
          </w:p>
          <w:p w:rsidR="00A73BE6" w:rsidRDefault="00A73BE6" w:rsidP="00CF456E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 w:rsidRPr="00BE50B7">
              <w:rPr>
                <w:rFonts w:ascii="Times New Roman" w:eastAsia="맑은 고딕" w:hAnsi="Times New Roman"/>
                <w:sz w:val="19"/>
                <w:szCs w:val="19"/>
                <w:lang w:val="en-US" w:eastAsia="ko-KR"/>
              </w:rPr>
              <w:t>- Each BAP address can have one or multiple entries in the routing table to enable local route selection. Multiple entries is for load balancing, re-routing at RLF. For load balancing still FFS what is decided locally and/or decided by the Donor.</w:t>
            </w:r>
          </w:p>
        </w:tc>
      </w:tr>
    </w:tbl>
    <w:p w:rsidR="00A73BE6" w:rsidRDefault="00A73BE6" w:rsidP="00D17B56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D17B56" w:rsidRDefault="00D17B56" w:rsidP="00D17B56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this condition, the IAB node 2 sends a flow control feedback 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containing 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destination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BAP addresse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>s, which are forwarded to the IAB node 1, to the parent node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(IAB node 3)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Then the IAB node 3 can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throttle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or block DL traffics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received destination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BAP address</w:t>
      </w:r>
      <w:r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indicated by the flow control feedback.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us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hop-by-hop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flow control feedback contain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9461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destination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BAP address causing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DL data congestion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parent IAB node can throttle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only DL traffics causing DL data congestion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A73BE6" w:rsidRDefault="00A73BE6" w:rsidP="00A73BE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hop-by-hop flow control,</w:t>
      </w:r>
      <w:r w:rsidR="009C755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destination BAP addresses which cause DL data congestion should be included to the DL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feedback.</w:t>
      </w:r>
    </w:p>
    <w:p w:rsidR="002571F7" w:rsidRPr="009C755F" w:rsidRDefault="00F92BB7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</w:p>
    <w:p w:rsidR="00F71FB1" w:rsidRPr="005D6D71" w:rsidRDefault="009C755F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 xml:space="preserve">FFS </w:t>
      </w:r>
      <w:r w:rsidR="005D6D71" w:rsidRPr="005D6D71">
        <w:rPr>
          <w:rFonts w:ascii="Times New Roman" w:eastAsia="맑은 고딕" w:hAnsi="Times New Roman"/>
          <w:sz w:val="22"/>
          <w:szCs w:val="22"/>
          <w:lang w:eastAsia="ko-KR"/>
        </w:rPr>
        <w:t>on the necessity of other flow control granularity</w:t>
      </w:r>
      <w:r w:rsidR="00F92BB7">
        <w:rPr>
          <w:rFonts w:ascii="Times New Roman" w:eastAsia="맑은 고딕" w:hAnsi="Times New Roman"/>
          <w:sz w:val="22"/>
          <w:szCs w:val="22"/>
          <w:lang w:eastAsia="ko-KR"/>
        </w:rPr>
        <w:t>, there are t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 xml:space="preserve">wo other flow control granularities, i.e., </w:t>
      </w:r>
      <w:r w:rsidR="005D6D71" w:rsidRPr="005D6D71">
        <w:rPr>
          <w:rFonts w:ascii="Times New Roman" w:eastAsia="맑은 고딕" w:hAnsi="Times New Roman"/>
          <w:sz w:val="22"/>
          <w:szCs w:val="22"/>
          <w:lang w:eastAsia="ko-KR"/>
        </w:rPr>
        <w:t>per UE radio bearer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5D6D71" w:rsidRPr="005D6D71">
        <w:rPr>
          <w:rFonts w:ascii="Times New Roman" w:eastAsia="맑은 고딕" w:hAnsi="Times New Roman"/>
          <w:sz w:val="22"/>
          <w:szCs w:val="22"/>
          <w:lang w:eastAsia="ko-KR"/>
        </w:rPr>
        <w:t>per IAB node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6C7487">
        <w:rPr>
          <w:rFonts w:ascii="Times New Roman" w:eastAsia="맑은 고딕" w:hAnsi="Times New Roman"/>
          <w:sz w:val="22"/>
          <w:szCs w:val="22"/>
          <w:lang w:eastAsia="ko-KR"/>
        </w:rPr>
        <w:t>P</w:t>
      </w:r>
      <w:r w:rsidR="005D6D71" w:rsidRPr="005D6D71">
        <w:rPr>
          <w:rFonts w:ascii="Times New Roman" w:eastAsia="맑은 고딕" w:hAnsi="Times New Roman"/>
          <w:sz w:val="22"/>
          <w:szCs w:val="22"/>
          <w:lang w:eastAsia="ko-KR"/>
        </w:rPr>
        <w:t>er UE radio bearer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 xml:space="preserve"> requires </w:t>
      </w:r>
      <w:r w:rsidR="006C7487">
        <w:rPr>
          <w:rFonts w:ascii="Times New Roman" w:eastAsia="맑은 고딕" w:hAnsi="Times New Roman"/>
          <w:sz w:val="22"/>
          <w:szCs w:val="22"/>
          <w:lang w:eastAsia="ko-KR"/>
        </w:rPr>
        <w:t xml:space="preserve">that </w:t>
      </w:r>
      <w:r w:rsidR="005D6D71">
        <w:rPr>
          <w:rFonts w:ascii="Times New Roman" w:eastAsia="맑은 고딕" w:hAnsi="Times New Roman"/>
          <w:sz w:val="22"/>
          <w:szCs w:val="22"/>
          <w:lang w:eastAsia="ko-KR"/>
        </w:rPr>
        <w:t>UE bearer ID</w:t>
      </w:r>
      <w:r w:rsidR="006C7487">
        <w:rPr>
          <w:rFonts w:ascii="Times New Roman" w:eastAsia="맑은 고딕" w:hAnsi="Times New Roman"/>
          <w:sz w:val="22"/>
          <w:szCs w:val="22"/>
          <w:lang w:eastAsia="ko-KR"/>
        </w:rPr>
        <w:t xml:space="preserve"> should be included to each BAP header</w:t>
      </w:r>
      <w:r w:rsidR="00F92BB7">
        <w:rPr>
          <w:rFonts w:ascii="Times New Roman" w:eastAsia="맑은 고딕" w:hAnsi="Times New Roman"/>
          <w:sz w:val="22"/>
          <w:szCs w:val="22"/>
          <w:lang w:eastAsia="ko-KR"/>
        </w:rPr>
        <w:t>, but this is not allowed by agreements so far and we don’t think t</w:t>
      </w:r>
      <w:r w:rsidR="003E69D3">
        <w:rPr>
          <w:rFonts w:ascii="Times New Roman" w:eastAsia="맑은 고딕" w:hAnsi="Times New Roman"/>
          <w:sz w:val="22"/>
          <w:szCs w:val="22"/>
          <w:lang w:eastAsia="ko-KR"/>
        </w:rPr>
        <w:t xml:space="preserve">his much overhead is not needed. </w:t>
      </w:r>
      <w:r w:rsidR="003E69D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Per IAB node may need the smallest size of flow control feedback, but it may not give enough information about which RLC-channel is actually congested in the IAB node. Thus, </w:t>
      </w:r>
      <w:r w:rsidR="0005397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current agreement, i.e., </w:t>
      </w:r>
      <w:r w:rsidR="003E69D3" w:rsidRPr="003E69D3">
        <w:rPr>
          <w:rFonts w:ascii="Times New Roman" w:eastAsia="맑은 고딕" w:hAnsi="Times New Roman"/>
          <w:sz w:val="22"/>
          <w:szCs w:val="22"/>
          <w:lang w:val="en-US" w:eastAsia="ko-KR"/>
        </w:rPr>
        <w:t>per RLC</w:t>
      </w:r>
      <w:r w:rsidR="00F92BB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E69D3" w:rsidRPr="003E69D3">
        <w:rPr>
          <w:rFonts w:ascii="Times New Roman" w:eastAsia="맑은 고딕" w:hAnsi="Times New Roman"/>
          <w:sz w:val="22"/>
          <w:szCs w:val="22"/>
          <w:lang w:val="en-US" w:eastAsia="ko-KR"/>
        </w:rPr>
        <w:t>channel</w:t>
      </w:r>
      <w:r w:rsidR="003E69D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E69D3" w:rsidRPr="005D6D71">
        <w:rPr>
          <w:rFonts w:ascii="Times New Roman" w:eastAsia="맑은 고딕" w:hAnsi="Times New Roman"/>
          <w:sz w:val="22"/>
          <w:szCs w:val="22"/>
          <w:lang w:eastAsia="ko-KR"/>
        </w:rPr>
        <w:t>flow control granularity</w:t>
      </w:r>
      <w:r w:rsidR="00053971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 w:rsidR="003E69D3" w:rsidRPr="003E69D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3E69D3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3E69D3" w:rsidRPr="003E69D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sufficient to figure out congestion </w:t>
      </w:r>
      <w:r w:rsidR="00053971">
        <w:rPr>
          <w:rFonts w:ascii="Times New Roman" w:eastAsia="맑은 고딕" w:hAnsi="Times New Roman"/>
          <w:sz w:val="22"/>
          <w:szCs w:val="22"/>
          <w:lang w:val="en-US" w:eastAsia="ko-KR"/>
        </w:rPr>
        <w:t>status</w:t>
      </w:r>
      <w:r w:rsidR="003E69D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no other granularity is not needed. </w:t>
      </w:r>
    </w:p>
    <w:p w:rsidR="003E69D3" w:rsidRDefault="003E69D3" w:rsidP="003E69D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3E69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Per BH RLC channel based flow control feedback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</w:t>
      </w:r>
      <w:r w:rsidR="00053971">
        <w:rPr>
          <w:rFonts w:ascii="Times New Roman" w:eastAsia="맑은 고딕" w:hAnsi="Times New Roman"/>
          <w:b/>
          <w:sz w:val="22"/>
          <w:szCs w:val="22"/>
          <w:lang w:eastAsia="ko-KR"/>
        </w:rPr>
        <w:t>sufficient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no </w:t>
      </w:r>
      <w:r w:rsidRPr="003E69D3">
        <w:rPr>
          <w:rFonts w:ascii="Times New Roman" w:eastAsia="맑은 고딕" w:hAnsi="Times New Roman"/>
          <w:b/>
          <w:sz w:val="22"/>
          <w:szCs w:val="22"/>
          <w:lang w:eastAsia="ko-KR"/>
        </w:rPr>
        <w:t>other flow control granularity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needed.</w:t>
      </w:r>
    </w:p>
    <w:p w:rsidR="00F71FB1" w:rsidRPr="003E69D3" w:rsidRDefault="00F71FB1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933BFA" w:rsidRDefault="009A2137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Another discussion point is </w:t>
      </w:r>
      <w:r w:rsidR="003E69D3" w:rsidRPr="003E69D3">
        <w:rPr>
          <w:rFonts w:ascii="Times New Roman" w:eastAsia="맑은 고딕" w:hAnsi="Times New Roman"/>
          <w:sz w:val="22"/>
          <w:szCs w:val="22"/>
          <w:lang w:eastAsia="ko-KR"/>
        </w:rPr>
        <w:t>buffer load</w:t>
      </w:r>
      <w:r>
        <w:rPr>
          <w:rFonts w:ascii="Times New Roman" w:eastAsia="맑은 고딕" w:hAnsi="Times New Roman"/>
          <w:sz w:val="22"/>
          <w:szCs w:val="22"/>
          <w:lang w:eastAsia="ko-KR"/>
        </w:rPr>
        <w:t>. W</w:t>
      </w:r>
      <w:r w:rsidR="00F71FB1" w:rsidRPr="00F71FB1">
        <w:rPr>
          <w:rFonts w:ascii="Times New Roman" w:eastAsia="맑은 고딕" w:hAnsi="Times New Roman"/>
          <w:sz w:val="22"/>
          <w:szCs w:val="22"/>
          <w:lang w:eastAsia="ko-KR"/>
        </w:rPr>
        <w:t xml:space="preserve">e think that buffer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load </w:t>
      </w:r>
      <w:r w:rsidR="00F71FB1" w:rsidRPr="00F71FB1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not only</w:t>
      </w:r>
      <w:r w:rsidRPr="00F71FB1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F71FB1" w:rsidRPr="00F71FB1">
        <w:rPr>
          <w:rFonts w:ascii="Times New Roman" w:eastAsia="맑은 고딕" w:hAnsi="Times New Roman"/>
          <w:sz w:val="22"/>
          <w:szCs w:val="22"/>
          <w:lang w:eastAsia="ko-KR"/>
        </w:rPr>
        <w:t xml:space="preserve">useful information to indicate seriousness of downlink data congestion to the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parent IAB node, but also is used to decide whether to trigger flow control or not. If buffer load exceeds the certain level, the IAB node triggers </w:t>
      </w:r>
      <w:r w:rsidR="00053971">
        <w:rPr>
          <w:rFonts w:ascii="Times New Roman" w:eastAsia="맑은 고딕" w:hAnsi="Times New Roman"/>
          <w:sz w:val="22"/>
          <w:szCs w:val="22"/>
          <w:lang w:eastAsia="ko-KR"/>
        </w:rPr>
        <w:t xml:space="preserve">hop-by-hop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flow control feedback to the parent IAB node</w:t>
      </w:r>
      <w:r w:rsidR="008878B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8878B5" w:rsidRDefault="008878B5" w:rsidP="008878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</w:t>
      </w:r>
      <w:r w:rsidRPr="008878B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buffer load exceeds the certain level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 w:rsidRPr="008878B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DL hop-by-hop flow control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should be triggered.</w:t>
      </w:r>
    </w:p>
    <w:p w:rsidR="00A73BE6" w:rsidRDefault="00A73BE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more detail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aspects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for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DL flow control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8878B5" w:rsidRPr="0045512E" w:rsidRDefault="008878B5" w:rsidP="008878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DL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flow control should throttles only DL traffics causing data congestion.</w:t>
      </w:r>
    </w:p>
    <w:p w:rsidR="008878B5" w:rsidRDefault="008878B5" w:rsidP="008878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hop-by-hop flow control, destination BAP addresses which cause DL data congestion should be included to the DL flow control feedback.</w:t>
      </w:r>
    </w:p>
    <w:p w:rsidR="008878B5" w:rsidRDefault="008878B5" w:rsidP="008878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Pr="003E69D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Per BH RLC channel based flow control feedback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is sufficient and no </w:t>
      </w:r>
      <w:r w:rsidRPr="003E69D3">
        <w:rPr>
          <w:rFonts w:ascii="Times New Roman" w:eastAsia="맑은 고딕" w:hAnsi="Times New Roman"/>
          <w:b/>
          <w:sz w:val="22"/>
          <w:szCs w:val="22"/>
          <w:lang w:eastAsia="ko-KR"/>
        </w:rPr>
        <w:t>other flow control granularity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needed.</w:t>
      </w:r>
    </w:p>
    <w:p w:rsidR="008878B5" w:rsidRDefault="008878B5" w:rsidP="008878B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</w:t>
      </w:r>
      <w:r w:rsidRPr="008878B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buffer load exceeds the certain level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 w:rsidRPr="008878B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the DL hop-by-hop flow control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should be triggered.</w:t>
      </w:r>
    </w:p>
    <w:p w:rsidR="00686439" w:rsidRPr="008878B5" w:rsidRDefault="00686439" w:rsidP="008C10C3">
      <w:pPr>
        <w:jc w:val="left"/>
        <w:rPr>
          <w:rFonts w:eastAsia="맑은 고딕" w:cs="Arial"/>
          <w:b/>
          <w:szCs w:val="22"/>
          <w:lang w:eastAsia="ko-KR"/>
        </w:rPr>
      </w:pPr>
    </w:p>
    <w:sectPr w:rsidR="00686439" w:rsidRPr="008878B5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8E" w:rsidRDefault="00136B8E">
      <w:pPr>
        <w:spacing w:after="0"/>
      </w:pPr>
      <w:r>
        <w:separator/>
      </w:r>
    </w:p>
  </w:endnote>
  <w:endnote w:type="continuationSeparator" w:id="0">
    <w:p w:rsidR="00136B8E" w:rsidRDefault="00136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8E" w:rsidRDefault="00136B8E">
      <w:pPr>
        <w:spacing w:after="0"/>
      </w:pPr>
      <w:r>
        <w:separator/>
      </w:r>
    </w:p>
  </w:footnote>
  <w:footnote w:type="continuationSeparator" w:id="0">
    <w:p w:rsidR="00136B8E" w:rsidRDefault="00136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22BF0"/>
    <w:rsid w:val="0003098D"/>
    <w:rsid w:val="0004425B"/>
    <w:rsid w:val="00047728"/>
    <w:rsid w:val="00050C62"/>
    <w:rsid w:val="00053971"/>
    <w:rsid w:val="0006402A"/>
    <w:rsid w:val="00092C1A"/>
    <w:rsid w:val="00094E5F"/>
    <w:rsid w:val="000B3327"/>
    <w:rsid w:val="000B3A41"/>
    <w:rsid w:val="000B6AA5"/>
    <w:rsid w:val="000C32F3"/>
    <w:rsid w:val="000D3A9A"/>
    <w:rsid w:val="000D7090"/>
    <w:rsid w:val="00106C02"/>
    <w:rsid w:val="00136B8E"/>
    <w:rsid w:val="00175DB4"/>
    <w:rsid w:val="001D0DAD"/>
    <w:rsid w:val="001E6FE6"/>
    <w:rsid w:val="002142EA"/>
    <w:rsid w:val="00224FB0"/>
    <w:rsid w:val="002254F8"/>
    <w:rsid w:val="002402FB"/>
    <w:rsid w:val="0025422F"/>
    <w:rsid w:val="002571F7"/>
    <w:rsid w:val="002719B0"/>
    <w:rsid w:val="00272580"/>
    <w:rsid w:val="002E64D9"/>
    <w:rsid w:val="002E7B86"/>
    <w:rsid w:val="00310474"/>
    <w:rsid w:val="00342843"/>
    <w:rsid w:val="0034772A"/>
    <w:rsid w:val="003516A5"/>
    <w:rsid w:val="00363113"/>
    <w:rsid w:val="003651C5"/>
    <w:rsid w:val="00377FC0"/>
    <w:rsid w:val="00387AA9"/>
    <w:rsid w:val="00393333"/>
    <w:rsid w:val="0039676C"/>
    <w:rsid w:val="003E0DDA"/>
    <w:rsid w:val="003E69D3"/>
    <w:rsid w:val="003F1E35"/>
    <w:rsid w:val="00454557"/>
    <w:rsid w:val="0045512E"/>
    <w:rsid w:val="00461E79"/>
    <w:rsid w:val="004661A7"/>
    <w:rsid w:val="00482A8F"/>
    <w:rsid w:val="004A1D32"/>
    <w:rsid w:val="004B312C"/>
    <w:rsid w:val="004C78E1"/>
    <w:rsid w:val="004F2A5D"/>
    <w:rsid w:val="00511BAD"/>
    <w:rsid w:val="00513A48"/>
    <w:rsid w:val="0056496F"/>
    <w:rsid w:val="00577D4C"/>
    <w:rsid w:val="00586559"/>
    <w:rsid w:val="005D6D71"/>
    <w:rsid w:val="00604E21"/>
    <w:rsid w:val="00615410"/>
    <w:rsid w:val="00616447"/>
    <w:rsid w:val="00631652"/>
    <w:rsid w:val="0065328F"/>
    <w:rsid w:val="00660CA5"/>
    <w:rsid w:val="00664B9C"/>
    <w:rsid w:val="00666594"/>
    <w:rsid w:val="0067148D"/>
    <w:rsid w:val="0067345B"/>
    <w:rsid w:val="00686439"/>
    <w:rsid w:val="006B4A61"/>
    <w:rsid w:val="006C29AE"/>
    <w:rsid w:val="006C7487"/>
    <w:rsid w:val="006D5589"/>
    <w:rsid w:val="006F0D14"/>
    <w:rsid w:val="006F5AB1"/>
    <w:rsid w:val="00720A48"/>
    <w:rsid w:val="0073717E"/>
    <w:rsid w:val="00744066"/>
    <w:rsid w:val="007451D5"/>
    <w:rsid w:val="00760244"/>
    <w:rsid w:val="00772851"/>
    <w:rsid w:val="007B29D5"/>
    <w:rsid w:val="007C77D5"/>
    <w:rsid w:val="007D3BC9"/>
    <w:rsid w:val="007E1856"/>
    <w:rsid w:val="007E22EE"/>
    <w:rsid w:val="0081284E"/>
    <w:rsid w:val="0081714F"/>
    <w:rsid w:val="0083272B"/>
    <w:rsid w:val="00873A44"/>
    <w:rsid w:val="008878B5"/>
    <w:rsid w:val="008B072B"/>
    <w:rsid w:val="008B3E15"/>
    <w:rsid w:val="008C10C3"/>
    <w:rsid w:val="008F2607"/>
    <w:rsid w:val="00933BFA"/>
    <w:rsid w:val="00934B9F"/>
    <w:rsid w:val="00936DD3"/>
    <w:rsid w:val="00943F33"/>
    <w:rsid w:val="009562A9"/>
    <w:rsid w:val="00960C26"/>
    <w:rsid w:val="00960E30"/>
    <w:rsid w:val="009777E8"/>
    <w:rsid w:val="009904CD"/>
    <w:rsid w:val="009A2137"/>
    <w:rsid w:val="009A6FD2"/>
    <w:rsid w:val="009B1312"/>
    <w:rsid w:val="009C31AB"/>
    <w:rsid w:val="009C755F"/>
    <w:rsid w:val="009D600D"/>
    <w:rsid w:val="009E158C"/>
    <w:rsid w:val="009F6C2E"/>
    <w:rsid w:val="00A07CEB"/>
    <w:rsid w:val="00A13409"/>
    <w:rsid w:val="00A7137F"/>
    <w:rsid w:val="00A73BE6"/>
    <w:rsid w:val="00AA12BD"/>
    <w:rsid w:val="00AC129C"/>
    <w:rsid w:val="00AE2850"/>
    <w:rsid w:val="00B235E9"/>
    <w:rsid w:val="00B35F3A"/>
    <w:rsid w:val="00B46B2B"/>
    <w:rsid w:val="00B50D99"/>
    <w:rsid w:val="00B5529F"/>
    <w:rsid w:val="00B7585F"/>
    <w:rsid w:val="00BB7461"/>
    <w:rsid w:val="00BE50B7"/>
    <w:rsid w:val="00C32815"/>
    <w:rsid w:val="00C34670"/>
    <w:rsid w:val="00C47B3D"/>
    <w:rsid w:val="00C84142"/>
    <w:rsid w:val="00C860C9"/>
    <w:rsid w:val="00CA2044"/>
    <w:rsid w:val="00CA6C89"/>
    <w:rsid w:val="00CC5595"/>
    <w:rsid w:val="00CC773E"/>
    <w:rsid w:val="00D17B56"/>
    <w:rsid w:val="00D232A1"/>
    <w:rsid w:val="00D72E5C"/>
    <w:rsid w:val="00D81AFE"/>
    <w:rsid w:val="00D94610"/>
    <w:rsid w:val="00DA5B4D"/>
    <w:rsid w:val="00DB166D"/>
    <w:rsid w:val="00DC3A93"/>
    <w:rsid w:val="00E02C31"/>
    <w:rsid w:val="00E10554"/>
    <w:rsid w:val="00E3361F"/>
    <w:rsid w:val="00E5004C"/>
    <w:rsid w:val="00E835E8"/>
    <w:rsid w:val="00EA0984"/>
    <w:rsid w:val="00EA756C"/>
    <w:rsid w:val="00EB13EC"/>
    <w:rsid w:val="00ED55B2"/>
    <w:rsid w:val="00ED671A"/>
    <w:rsid w:val="00EF4B89"/>
    <w:rsid w:val="00F06246"/>
    <w:rsid w:val="00F112E5"/>
    <w:rsid w:val="00F50B30"/>
    <w:rsid w:val="00F60374"/>
    <w:rsid w:val="00F63538"/>
    <w:rsid w:val="00F71FB1"/>
    <w:rsid w:val="00F92BB7"/>
    <w:rsid w:val="00FB50CB"/>
    <w:rsid w:val="00FB7823"/>
    <w:rsid w:val="00FC0794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9F6C2E"/>
    <w:pPr>
      <w:numPr>
        <w:numId w:val="10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34</cp:revision>
  <dcterms:created xsi:type="dcterms:W3CDTF">2019-01-28T23:45:00Z</dcterms:created>
  <dcterms:modified xsi:type="dcterms:W3CDTF">2019-10-04T03:48:00Z</dcterms:modified>
</cp:coreProperties>
</file>